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04E13">
            <w:pPr>
              <w:rPr>
                <w:rFonts w:ascii="Arial" w:hAnsi="Arial"/>
              </w:rPr>
            </w:pPr>
            <w:r w:rsidRPr="00304E13">
              <w:rPr>
                <w:rFonts w:ascii="Arial" w:hAnsi="Arial"/>
              </w:rPr>
              <w:t>Introduction to Private Security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04E13">
            <w:pPr>
              <w:rPr>
                <w:rFonts w:ascii="Arial" w:hAnsi="Arial"/>
              </w:rPr>
            </w:pPr>
            <w:r>
              <w:rPr>
                <w:rFonts w:ascii="Arial" w:hAnsi="Arial"/>
              </w:rPr>
              <w:t>CJS</w:t>
            </w:r>
            <w:r w:rsidRPr="00304E13">
              <w:rPr>
                <w:rFonts w:ascii="Arial" w:hAnsi="Arial"/>
              </w:rPr>
              <w:t>415</w:t>
            </w:r>
          </w:p>
          <w:p w:rsidR="00304E13" w:rsidRPr="00F1598C" w:rsidRDefault="00304E13">
            <w:pPr>
              <w:rPr>
                <w:rFonts w:ascii="Arial" w:hAnsi="Arial"/>
              </w:rPr>
            </w:pPr>
            <w:r>
              <w:rPr>
                <w:rFonts w:ascii="Arial" w:hAnsi="Arial"/>
              </w:rPr>
              <w:t>CJS0</w:t>
            </w:r>
            <w:r w:rsidRPr="00304E13">
              <w:rPr>
                <w:rFonts w:ascii="Arial" w:hAnsi="Arial"/>
              </w:rPr>
              <w:t>415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304E13">
            <w:pPr>
              <w:rPr>
                <w:rFonts w:ascii="Arial" w:hAnsi="Arial"/>
              </w:rPr>
            </w:pPr>
            <w:r>
              <w:rPr>
                <w:rFonts w:ascii="Arial" w:hAnsi="Arial" w:cs="Arial"/>
              </w:rPr>
              <w:t>Protection, Security and Investigations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04E13">
            <w:pPr>
              <w:rPr>
                <w:rFonts w:ascii="Arial" w:hAnsi="Arial"/>
              </w:rPr>
            </w:pPr>
            <w:r>
              <w:rPr>
                <w:rFonts w:ascii="Arial" w:hAnsi="Arial" w:cs="Arial"/>
                <w:sz w:val="22"/>
                <w:szCs w:val="22"/>
              </w:rPr>
              <w:t>John E. Jones</w:t>
            </w:r>
          </w:p>
          <w:p w:rsidR="00757B48" w:rsidRPr="00F1598C" w:rsidRDefault="00304E13">
            <w:pPr>
              <w:rPr>
                <w:rFonts w:ascii="Arial" w:hAnsi="Arial"/>
              </w:rPr>
            </w:pPr>
            <w:r>
              <w:rPr>
                <w:rFonts w:ascii="Arial" w:hAnsi="Arial"/>
              </w:rPr>
              <w:t>Mary Lewis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CA0770" w:rsidRPr="00F1598C" w:rsidRDefault="00CA0770">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CA0770">
            <w:pPr>
              <w:jc w:val="center"/>
              <w:rPr>
                <w:rFonts w:ascii="Arial" w:hAnsi="Arial"/>
              </w:rPr>
            </w:pPr>
            <w:r>
              <w:rPr>
                <w:rFonts w:ascii="Arial" w:hAnsi="Arial"/>
              </w:rPr>
              <w:t>“Angelique Lemay”</w:t>
            </w:r>
          </w:p>
        </w:tc>
        <w:tc>
          <w:tcPr>
            <w:tcW w:w="1368" w:type="dxa"/>
            <w:gridSpan w:val="2"/>
          </w:tcPr>
          <w:p w:rsidR="00D1300B" w:rsidRPr="00F1598C" w:rsidRDefault="00CA0770">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04E13">
            <w:pPr>
              <w:rPr>
                <w:rFonts w:ascii="Arial" w:hAnsi="Arial"/>
              </w:rPr>
            </w:pPr>
            <w:r>
              <w:rPr>
                <w:rFonts w:ascii="Arial" w:hAnsi="Arial" w:cs="Arial"/>
                <w:sz w:val="22"/>
                <w:szCs w:val="22"/>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304E13" w:rsidRDefault="00304E13" w:rsidP="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None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04E13">
            <w:pPr>
              <w:rPr>
                <w:rFonts w:ascii="Arial" w:hAnsi="Arial"/>
              </w:rPr>
            </w:pPr>
            <w:r>
              <w:rPr>
                <w:rFonts w:ascii="Arial" w:hAnsi="Arial" w:cs="Arial"/>
                <w:sz w:val="22"/>
                <w:szCs w:val="22"/>
              </w:rPr>
              <w:t>3</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CA0770" w:rsidRDefault="00CA0770">
      <w:pPr>
        <w:tabs>
          <w:tab w:val="center" w:pos="4560"/>
        </w:tabs>
        <w:rPr>
          <w:rFonts w:ascii="Arial" w:hAnsi="Arial"/>
          <w:lang w:val="en-GB"/>
        </w:rPr>
      </w:pPr>
    </w:p>
    <w:p w:rsidR="00CA0770" w:rsidRDefault="00CA0770">
      <w:pPr>
        <w:rPr>
          <w:rFonts w:ascii="Arial" w:hAnsi="Arial"/>
          <w:lang w:val="en-GB"/>
        </w:rPr>
      </w:pPr>
      <w:r>
        <w:rPr>
          <w:rFonts w:ascii="Arial" w:hAnsi="Arial"/>
          <w:lang w:val="en-GB"/>
        </w:rPr>
        <w:br w:type="page"/>
      </w:r>
    </w:p>
    <w:p w:rsidR="00304E13" w:rsidRDefault="00304E13">
      <w:pPr>
        <w:tabs>
          <w:tab w:val="center" w:pos="4560"/>
        </w:tabs>
        <w:rPr>
          <w:rFonts w:ascii="Arial" w:hAnsi="Arial"/>
          <w:lang w:val="en-GB"/>
        </w:rPr>
      </w:pPr>
    </w:p>
    <w:p w:rsidR="00304E13" w:rsidRDefault="00304E13" w:rsidP="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I.</w:t>
      </w:r>
      <w:r>
        <w:rPr>
          <w:rFonts w:ascii="Arial" w:hAnsi="Arial" w:cs="Arial"/>
          <w:b/>
          <w:bCs/>
        </w:rPr>
        <w:tab/>
        <w:t xml:space="preserve">COURSE DESCRIPTION: </w:t>
      </w:r>
    </w:p>
    <w:p w:rsidR="00304E13" w:rsidRDefault="00304E13" w:rsidP="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304E13" w:rsidRDefault="00304E13" w:rsidP="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The course is designed to familiarize the student with the various concepts and techniques employed in the private security sector that are necessary to develop and maintain total loss prevention programs. Emphasis will be directed towards prevention programs that target loss through theft, fire, abuse, and accident. Students will examine common offences related to the industry, as well as the legislative authorities that allow security personnel to function within legal parameters.</w:t>
      </w:r>
    </w:p>
    <w:p w:rsidR="00304E13" w:rsidRDefault="00304E13" w:rsidP="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bookmarkStart w:id="0" w:name="_GoBack"/>
      <w:bookmarkEnd w:id="0"/>
    </w:p>
    <w:tbl>
      <w:tblPr>
        <w:tblW w:w="0" w:type="auto"/>
        <w:tblLayout w:type="fixed"/>
        <w:tblLook w:val="04A0"/>
      </w:tblPr>
      <w:tblGrid>
        <w:gridCol w:w="674"/>
        <w:gridCol w:w="8180"/>
      </w:tblGrid>
      <w:tr w:rsidR="00304E13" w:rsidTr="00304E13">
        <w:tc>
          <w:tcPr>
            <w:tcW w:w="67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II.</w:t>
            </w:r>
          </w:p>
        </w:tc>
        <w:tc>
          <w:tcPr>
            <w:tcW w:w="8180"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Pr>
                <w:rFonts w:ascii="Arial" w:hAnsi="Arial" w:cs="Arial"/>
                <w:b/>
                <w:bCs/>
              </w:rPr>
              <w:t>LEARNING OUTCOMES AND ELEMENTS OF THE PERFORMANCE:</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8180" w:type="dxa"/>
            <w:tcBorders>
              <w:top w:val="single" w:sz="6" w:space="0" w:color="FFFFFF"/>
              <w:left w:val="single" w:sz="6" w:space="0" w:color="FFFFFF"/>
              <w:bottom w:val="single" w:sz="6" w:space="0" w:color="FFFFFF"/>
              <w:right w:val="single" w:sz="6" w:space="0" w:color="FFFFFF"/>
            </w:tcBorders>
          </w:tcPr>
          <w:p w:rsidR="00304E13" w:rsidRPr="00792797" w:rsidRDefault="00304E13">
            <w:pPr>
              <w:pStyle w:val="EnvelopeReturn"/>
              <w:rPr>
                <w:b/>
              </w:rPr>
            </w:pPr>
            <w:r w:rsidRPr="00792797">
              <w:rPr>
                <w:b/>
              </w:rPr>
              <w:t xml:space="preserve">Upon successful completion of this course, the </w:t>
            </w:r>
            <w:proofErr w:type="spellStart"/>
            <w:r w:rsidRPr="00792797">
              <w:rPr>
                <w:b/>
              </w:rPr>
              <w:t>CICE</w:t>
            </w:r>
            <w:proofErr w:type="spellEnd"/>
            <w:r w:rsidRPr="00792797">
              <w:rPr>
                <w:b/>
              </w:rPr>
              <w:t xml:space="preserve"> student, along with the assistance of a Learning Specialist, will demonstrate the basic ability to:</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bl>
    <w:p w:rsidR="00304E13" w:rsidRDefault="00304E13" w:rsidP="00304E13">
      <w:pPr>
        <w:rPr>
          <w:rFonts w:ascii="Arial" w:hAnsi="Arial" w:cs="Arial"/>
          <w:vanish/>
        </w:rPr>
      </w:pPr>
    </w:p>
    <w:tbl>
      <w:tblPr>
        <w:tblW w:w="0" w:type="auto"/>
        <w:tblLayout w:type="fixed"/>
        <w:tblLook w:val="04A0"/>
      </w:tblPr>
      <w:tblGrid>
        <w:gridCol w:w="674"/>
        <w:gridCol w:w="566"/>
        <w:gridCol w:w="7614"/>
      </w:tblGrid>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1.</w:t>
            </w: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Describe the origins and development of private security in Canada and the United States</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u w:val="single"/>
              </w:rPr>
            </w:pPr>
            <w:r>
              <w:rPr>
                <w:rFonts w:ascii="Arial" w:hAnsi="Arial" w:cs="Arial"/>
                <w:u w:val="single"/>
              </w:rPr>
              <w:t>Potential Elements of the Performance:</w:t>
            </w:r>
          </w:p>
          <w:p w:rsidR="00304E13" w:rsidRDefault="00304E13" w:rsidP="00304E13">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outline the historical development of private security</w:t>
            </w:r>
          </w:p>
          <w:p w:rsidR="00304E13" w:rsidRDefault="00304E13" w:rsidP="00304E13">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 describe the various career opportunities in private security</w:t>
            </w:r>
          </w:p>
          <w:p w:rsidR="00304E13" w:rsidRDefault="00304E13" w:rsidP="00304E13">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discuss the role of security</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2.</w:t>
            </w: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Describe the security function for private security</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u w:val="single"/>
              </w:rPr>
              <w:t>Potential Elements of the Performance</w:t>
            </w:r>
            <w:r>
              <w:rPr>
                <w:rFonts w:ascii="Arial" w:hAnsi="Arial" w:cs="Arial"/>
              </w:rPr>
              <w:t>:</w:t>
            </w:r>
          </w:p>
          <w:p w:rsidR="00304E13" w:rsidRDefault="00304E13" w:rsidP="00304E13">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define the term, “private security”, and “public security” and outline the differences and similarities</w:t>
            </w:r>
          </w:p>
          <w:p w:rsidR="00304E13" w:rsidRDefault="00304E13" w:rsidP="00304E13">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define and outline the advantages and disadvantages of in-house and contract security services</w:t>
            </w:r>
          </w:p>
          <w:p w:rsidR="00304E13" w:rsidRDefault="00304E13" w:rsidP="00304E13">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outline and discuss the impacts of the five tenets of security upon the role of private security</w:t>
            </w:r>
          </w:p>
          <w:p w:rsidR="00304E13" w:rsidRDefault="00304E13" w:rsidP="00304E13">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process of licensing in Ontario for Security</w:t>
            </w:r>
          </w:p>
          <w:p w:rsidR="00304E13" w:rsidRDefault="00304E13" w:rsidP="00304E13">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roofErr w:type="gramStart"/>
            <w:r>
              <w:rPr>
                <w:rFonts w:ascii="Arial" w:hAnsi="Arial" w:cs="Arial"/>
              </w:rPr>
              <w:t>list</w:t>
            </w:r>
            <w:proofErr w:type="gramEnd"/>
            <w:r>
              <w:rPr>
                <w:rFonts w:ascii="Arial" w:hAnsi="Arial" w:cs="Arial"/>
              </w:rPr>
              <w:t xml:space="preserve"> and describe the selection criteria for security guards.</w:t>
            </w:r>
          </w:p>
          <w:p w:rsidR="00304E13" w:rsidRDefault="00304E13" w:rsidP="00304E13">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understand the relationship between security and customer service</w:t>
            </w:r>
          </w:p>
          <w:p w:rsidR="00304E13" w:rsidRDefault="00304E13" w:rsidP="00304E13">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discuss the concept of “</w:t>
            </w:r>
            <w:proofErr w:type="spellStart"/>
            <w:r>
              <w:rPr>
                <w:rFonts w:ascii="Arial" w:hAnsi="Arial" w:cs="Arial"/>
              </w:rPr>
              <w:t>WAECUP</w:t>
            </w:r>
            <w:proofErr w:type="spellEnd"/>
            <w:r>
              <w:rPr>
                <w:rFonts w:ascii="Arial" w:hAnsi="Arial" w:cs="Arial"/>
              </w:rPr>
              <w:t>”</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3.</w:t>
            </w: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Outline and apply the various legislative authorities for private security</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u w:val="single"/>
              </w:rPr>
              <w:t>Potential Elements of the Performance</w:t>
            </w:r>
            <w:r>
              <w:rPr>
                <w:rFonts w:ascii="Arial" w:hAnsi="Arial" w:cs="Arial"/>
              </w:rPr>
              <w:t>:</w:t>
            </w:r>
          </w:p>
          <w:p w:rsidR="00304E13" w:rsidRDefault="00304E13" w:rsidP="00304E13">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review and describe the provisions of the Criminal Code that impacts private security</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arrest authorities</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search authorities</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seizure authorities</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use of force authorities</w:t>
            </w:r>
          </w:p>
          <w:p w:rsidR="00304E13" w:rsidRDefault="00304E13" w:rsidP="00304E13">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 xml:space="preserve">list and explain the provisions of the Private Investigators and </w:t>
            </w:r>
            <w:r>
              <w:rPr>
                <w:rFonts w:ascii="Arial" w:hAnsi="Arial" w:cs="Arial"/>
              </w:rPr>
              <w:lastRenderedPageBreak/>
              <w:t>Security Guard Act</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4.</w:t>
            </w: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Write complete, accurate, and factual reports from scenarios</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u w:val="single"/>
              </w:rPr>
              <w:t>Potential Elements of the Performance</w:t>
            </w:r>
            <w:r>
              <w:rPr>
                <w:rFonts w:ascii="Arial" w:hAnsi="Arial" w:cs="Arial"/>
              </w:rPr>
              <w:t>:</w:t>
            </w:r>
          </w:p>
          <w:p w:rsidR="00304E13" w:rsidRDefault="00304E13" w:rsidP="00304E13">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state and explain the need for accurate, factual and complete reports</w:t>
            </w:r>
          </w:p>
          <w:p w:rsidR="00304E13" w:rsidRDefault="00304E13" w:rsidP="00304E13">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the essential components of a good report</w:t>
            </w:r>
          </w:p>
          <w:p w:rsidR="00304E13" w:rsidRDefault="00304E13" w:rsidP="00304E13">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complete reports based on scenarios</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5.</w:t>
            </w: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List and describe the basic defense measures used in private security</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u w:val="single"/>
              </w:rPr>
              <w:t>Potential Elements of the Performance</w:t>
            </w:r>
            <w:r>
              <w:rPr>
                <w:rFonts w:ascii="Arial" w:hAnsi="Arial" w:cs="Arial"/>
              </w:rPr>
              <w:t>:</w:t>
            </w:r>
          </w:p>
          <w:p w:rsidR="00304E13" w:rsidRDefault="00304E13" w:rsidP="00304E13">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zones of defense</w:t>
            </w:r>
          </w:p>
          <w:p w:rsidR="00304E13" w:rsidRDefault="00304E13" w:rsidP="00304E13">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methods of defense</w:t>
            </w:r>
          </w:p>
          <w:p w:rsidR="00304E13" w:rsidRDefault="00304E13" w:rsidP="00304E13">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fire protection, safety, and emergency planning processes</w:t>
            </w:r>
          </w:p>
          <w:p w:rsidR="00304E13" w:rsidRDefault="00304E13" w:rsidP="00304E13">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patrol procedures</w:t>
            </w:r>
          </w:p>
          <w:p w:rsidR="00304E13" w:rsidRDefault="00304E13" w:rsidP="00304E13">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list and describe portable radio procedures and “10" codes</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6.</w:t>
            </w:r>
          </w:p>
        </w:tc>
        <w:tc>
          <w:tcPr>
            <w:tcW w:w="761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List and describe security application processes to retail security, hotel security, institutional security and casino security</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7.</w:t>
            </w:r>
          </w:p>
        </w:tc>
        <w:tc>
          <w:tcPr>
            <w:tcW w:w="761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u w:val="single"/>
              </w:rPr>
              <w:t>Potential Elements of the Performance</w:t>
            </w:r>
            <w:r>
              <w:rPr>
                <w:rFonts w:ascii="Arial" w:hAnsi="Arial" w:cs="Arial"/>
              </w:rPr>
              <w:t>:</w:t>
            </w:r>
          </w:p>
          <w:p w:rsidR="00304E13" w:rsidRDefault="00304E13" w:rsidP="00304E13">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issues and processes of retail security</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list and describe the types of shop lifters</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list and describe the common signs of shop lifters</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list and describe the security issues for retail businesses</w:t>
            </w:r>
          </w:p>
          <w:p w:rsidR="00304E13" w:rsidRDefault="00304E13" w:rsidP="00304E13">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issues and processes of hotel security</w:t>
            </w:r>
          </w:p>
          <w:p w:rsidR="00304E13" w:rsidRDefault="00304E13" w:rsidP="00792797">
            <w:pPr>
              <w:tabs>
                <w:tab w:val="left" w:pos="720"/>
                <w:tab w:val="left" w:pos="1440"/>
                <w:tab w:val="left" w:pos="2160"/>
                <w:tab w:val="left" w:pos="2880"/>
                <w:tab w:val="left" w:pos="3600"/>
                <w:tab w:val="left" w:pos="4320"/>
                <w:tab w:val="left" w:pos="5040"/>
                <w:tab w:val="left" w:pos="5760"/>
                <w:tab w:val="left" w:pos="6480"/>
              </w:tabs>
              <w:ind w:left="560" w:hanging="560"/>
              <w:rPr>
                <w:rFonts w:ascii="Arial" w:hAnsi="Arial" w:cs="Arial"/>
              </w:rPr>
            </w:pPr>
            <w:r>
              <w:rPr>
                <w:rFonts w:ascii="Arial" w:hAnsi="Arial" w:cs="Arial"/>
              </w:rPr>
              <w:t xml:space="preserve">      - list and describe the pertinent section of the Hotel Fire                         Safety Act</w:t>
            </w:r>
          </w:p>
          <w:p w:rsidR="00304E13" w:rsidRDefault="00304E13" w:rsidP="00792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0" w:hanging="560"/>
              <w:rPr>
                <w:rFonts w:ascii="Arial" w:hAnsi="Arial" w:cs="Arial"/>
              </w:rPr>
            </w:pPr>
            <w:r>
              <w:rPr>
                <w:rFonts w:ascii="Arial" w:hAnsi="Arial" w:cs="Arial"/>
              </w:rPr>
              <w:t xml:space="preserve">      - list and describe the pertinent sections of the Inn Keepers                  Act</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list and describe the security issues for hotel security</w:t>
            </w:r>
          </w:p>
          <w:p w:rsidR="00304E13" w:rsidRDefault="00304E13" w:rsidP="00304E13">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issues and processes of institutional security</w:t>
            </w:r>
          </w:p>
          <w:p w:rsidR="00304E13" w:rsidRDefault="00304E13">
            <w:p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list and describe the security issues for hospitals, and     </w:t>
            </w:r>
            <w:r>
              <w:rPr>
                <w:rFonts w:ascii="Arial" w:hAnsi="Arial" w:cs="Arial"/>
              </w:rPr>
              <w:tab/>
              <w:t>educational facilities</w:t>
            </w:r>
          </w:p>
          <w:p w:rsidR="00304E13" w:rsidRDefault="00304E13" w:rsidP="00304E13">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security issues and processes for Casinos</w:t>
            </w:r>
          </w:p>
          <w:p w:rsidR="00304E13" w:rsidRDefault="00304E13" w:rsidP="00304E13">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62"/>
              <w:rPr>
                <w:rFonts w:ascii="Arial" w:hAnsi="Arial" w:cs="Arial"/>
              </w:rPr>
            </w:pPr>
            <w:r>
              <w:rPr>
                <w:rFonts w:ascii="Arial" w:hAnsi="Arial" w:cs="Arial"/>
              </w:rPr>
              <w:t>list and describe the various patrol patterns used in private security</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t xml:space="preserve">List and describe the techniques of </w:t>
            </w:r>
            <w:proofErr w:type="spellStart"/>
            <w:r>
              <w:rPr>
                <w:rFonts w:ascii="Arial" w:hAnsi="Arial" w:cs="Arial"/>
                <w:b/>
                <w:bCs/>
              </w:rPr>
              <w:t>CPTED</w:t>
            </w:r>
            <w:proofErr w:type="spellEnd"/>
            <w:r>
              <w:rPr>
                <w:rFonts w:ascii="Arial" w:hAnsi="Arial" w:cs="Arial"/>
                <w:b/>
                <w:bCs/>
              </w:rPr>
              <w:t xml:space="preserve"> to reduce crime.</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u w:val="single"/>
              </w:rPr>
              <w:t>Potential Elements of the Performance</w:t>
            </w:r>
            <w:r>
              <w:rPr>
                <w:rFonts w:ascii="Arial" w:hAnsi="Arial" w:cs="Arial"/>
              </w:rPr>
              <w:t>:</w:t>
            </w:r>
          </w:p>
          <w:p w:rsidR="00304E13" w:rsidRDefault="00304E13" w:rsidP="00304E13">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prevention techniques associated with</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opportunity reduction</w:t>
            </w:r>
          </w:p>
          <w:p w:rsidR="00304E13" w:rsidRDefault="00304E13" w:rsidP="00304E13">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 xml:space="preserve">list and describe the three “D” approach to planning </w:t>
            </w:r>
            <w:proofErr w:type="spellStart"/>
            <w:r>
              <w:rPr>
                <w:rFonts w:ascii="Arial" w:hAnsi="Arial" w:cs="Arial"/>
              </w:rPr>
              <w:t>CPTED</w:t>
            </w:r>
            <w:proofErr w:type="spellEnd"/>
          </w:p>
          <w:p w:rsidR="00304E13" w:rsidRDefault="00304E13" w:rsidP="00304E13">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 xml:space="preserve">c. List and describe the four key strategies of effective </w:t>
            </w:r>
            <w:proofErr w:type="spellStart"/>
            <w:r>
              <w:rPr>
                <w:rFonts w:ascii="Arial" w:hAnsi="Arial" w:cs="Arial"/>
              </w:rPr>
              <w:t>CPTED</w:t>
            </w:r>
            <w:proofErr w:type="spellEnd"/>
          </w:p>
        </w:tc>
      </w:tr>
    </w:tbl>
    <w:p w:rsidR="00304E13" w:rsidRDefault="00304E13" w:rsidP="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rsidP="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0" w:type="auto"/>
        <w:tblLayout w:type="fixed"/>
        <w:tblLook w:val="04A0"/>
      </w:tblPr>
      <w:tblGrid>
        <w:gridCol w:w="674"/>
        <w:gridCol w:w="8180"/>
      </w:tblGrid>
      <w:tr w:rsidR="00304E13" w:rsidTr="00304E13">
        <w:tc>
          <w:tcPr>
            <w:tcW w:w="67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III.</w:t>
            </w:r>
          </w:p>
        </w:tc>
        <w:tc>
          <w:tcPr>
            <w:tcW w:w="8180"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b/>
                <w:bCs/>
              </w:rPr>
              <w:t>TOPICS:</w:t>
            </w:r>
          </w:p>
        </w:tc>
      </w:tr>
    </w:tbl>
    <w:p w:rsidR="00304E13" w:rsidRDefault="00304E13" w:rsidP="00304E13">
      <w:pPr>
        <w:rPr>
          <w:rFonts w:ascii="Arial" w:hAnsi="Arial" w:cs="Arial"/>
          <w:vanish/>
        </w:rPr>
      </w:pPr>
    </w:p>
    <w:tbl>
      <w:tblPr>
        <w:tblW w:w="0" w:type="auto"/>
        <w:tblLayout w:type="fixed"/>
        <w:tblLook w:val="04A0"/>
      </w:tblPr>
      <w:tblGrid>
        <w:gridCol w:w="674"/>
        <w:gridCol w:w="566"/>
        <w:gridCol w:w="7614"/>
      </w:tblGrid>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1.</w:t>
            </w: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History of Private Security</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2.</w:t>
            </w: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The Security Function</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3.</w:t>
            </w: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Legislative authorities and selected offences</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4.</w:t>
            </w: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Report writing</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5.</w:t>
            </w: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Basic Defense Measures</w:t>
            </w: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rPr>
              <w:t>6.</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7.</w:t>
            </w:r>
          </w:p>
        </w:tc>
        <w:tc>
          <w:tcPr>
            <w:tcW w:w="761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rPr>
              <w:t>Security Applications</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roofErr w:type="spellStart"/>
            <w:r>
              <w:rPr>
                <w:rFonts w:ascii="Arial" w:hAnsi="Arial" w:cs="Arial"/>
              </w:rPr>
              <w:t>CPTED</w:t>
            </w:r>
            <w:proofErr w:type="spellEnd"/>
          </w:p>
        </w:tc>
      </w:tr>
    </w:tbl>
    <w:p w:rsidR="00304E13" w:rsidRDefault="00304E13" w:rsidP="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p>
    <w:tbl>
      <w:tblPr>
        <w:tblW w:w="0" w:type="auto"/>
        <w:tblLayout w:type="fixed"/>
        <w:tblLook w:val="04A0"/>
      </w:tblPr>
      <w:tblGrid>
        <w:gridCol w:w="674"/>
        <w:gridCol w:w="1700"/>
        <w:gridCol w:w="4677"/>
        <w:gridCol w:w="1803"/>
      </w:tblGrid>
      <w:tr w:rsidR="00304E13" w:rsidTr="00304E13">
        <w:tc>
          <w:tcPr>
            <w:tcW w:w="67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IV.</w:t>
            </w:r>
          </w:p>
        </w:tc>
        <w:tc>
          <w:tcPr>
            <w:tcW w:w="8180" w:type="dxa"/>
            <w:gridSpan w:val="3"/>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Pr>
                <w:rFonts w:ascii="Arial" w:hAnsi="Arial" w:cs="Arial"/>
                <w:b/>
                <w:bCs/>
              </w:rPr>
              <w:t>REQUIRED RESOURCES/TEXTS/MATERIALS:</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None</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Handouts provided</w:t>
            </w:r>
          </w:p>
        </w:tc>
      </w:tr>
      <w:tr w:rsidR="00304E13" w:rsidTr="00CA0770">
        <w:tc>
          <w:tcPr>
            <w:tcW w:w="674" w:type="dxa"/>
            <w:tcBorders>
              <w:top w:val="single" w:sz="6" w:space="0" w:color="FFFFFF"/>
              <w:left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V.</w:t>
            </w:r>
          </w:p>
        </w:tc>
        <w:tc>
          <w:tcPr>
            <w:tcW w:w="8180" w:type="dxa"/>
            <w:gridSpan w:val="3"/>
            <w:tcBorders>
              <w:top w:val="single" w:sz="6" w:space="0" w:color="FFFFFF"/>
              <w:left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EVALUATION PROCESS/GRADING SYSTEM:</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Mid-term Exam                     - 40 marks </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Final exam                            - 40 marks</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Presentation</w:t>
            </w:r>
            <w:r>
              <w:rPr>
                <w:rFonts w:ascii="Arial" w:hAnsi="Arial" w:cs="Arial"/>
              </w:rPr>
              <w:tab/>
            </w:r>
            <w:r>
              <w:rPr>
                <w:rFonts w:ascii="Arial" w:hAnsi="Arial" w:cs="Arial"/>
              </w:rPr>
              <w:tab/>
              <w:t xml:space="preserve">             - 20 marks</w:t>
            </w:r>
          </w:p>
          <w:p w:rsidR="00304E13" w:rsidRDefault="00304E13">
            <w:pPr>
              <w:pStyle w:val="EnvelopeRe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304E13" w:rsidTr="00CA0770">
        <w:tc>
          <w:tcPr>
            <w:tcW w:w="674" w:type="dxa"/>
          </w:tcPr>
          <w:p w:rsidR="00304E13" w:rsidRDefault="00304E13">
            <w:pPr>
              <w:pStyle w:val="EnvelopeRe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180" w:type="dxa"/>
            <w:gridSpan w:val="3"/>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The following semester grades will be assigned to students:</w:t>
            </w:r>
          </w:p>
        </w:tc>
      </w:tr>
      <w:tr w:rsidR="00304E13" w:rsidTr="00CA0770">
        <w:tc>
          <w:tcPr>
            <w:tcW w:w="674"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u w:val="single"/>
              </w:rPr>
            </w:pPr>
          </w:p>
          <w:p w:rsidR="00304E13" w:rsidRDefault="00304E13" w:rsidP="00792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u w:val="single"/>
              </w:rPr>
            </w:pPr>
            <w:r>
              <w:rPr>
                <w:rFonts w:ascii="Arial" w:hAnsi="Arial" w:cs="Arial"/>
                <w:u w:val="single"/>
              </w:rPr>
              <w:t>Grade</w:t>
            </w:r>
          </w:p>
        </w:tc>
        <w:tc>
          <w:tcPr>
            <w:tcW w:w="4677"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u w:val="single"/>
              </w:rPr>
            </w:pP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u w:val="single"/>
              </w:rPr>
            </w:pPr>
            <w:r>
              <w:rPr>
                <w:rFonts w:ascii="Arial" w:hAnsi="Arial" w:cs="Arial"/>
                <w:u w:val="single"/>
              </w:rPr>
              <w:t>Definition</w:t>
            </w:r>
          </w:p>
        </w:tc>
        <w:tc>
          <w:tcPr>
            <w:tcW w:w="1801"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 xml:space="preserve">Grade Point </w:t>
            </w:r>
            <w:r>
              <w:rPr>
                <w:rFonts w:ascii="Arial" w:hAnsi="Arial" w:cs="Arial"/>
                <w:u w:val="single"/>
              </w:rPr>
              <w:t>Equivalent</w:t>
            </w:r>
          </w:p>
        </w:tc>
      </w:tr>
      <w:tr w:rsidR="00304E13" w:rsidTr="00CA0770">
        <w:tc>
          <w:tcPr>
            <w:tcW w:w="674"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304E13" w:rsidRDefault="00304E13">
            <w:pPr>
              <w:pStyle w:val="EnvelopeRe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w:t>
            </w:r>
          </w:p>
        </w:tc>
        <w:tc>
          <w:tcPr>
            <w:tcW w:w="4677"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90 - 100%</w:t>
            </w:r>
          </w:p>
        </w:tc>
        <w:tc>
          <w:tcPr>
            <w:tcW w:w="1801"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4.00</w:t>
            </w:r>
          </w:p>
        </w:tc>
      </w:tr>
      <w:tr w:rsidR="00304E13" w:rsidTr="00CA0770">
        <w:tc>
          <w:tcPr>
            <w:tcW w:w="674"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A</w:t>
            </w:r>
          </w:p>
        </w:tc>
        <w:tc>
          <w:tcPr>
            <w:tcW w:w="4677"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80 - 89%</w:t>
            </w:r>
          </w:p>
        </w:tc>
        <w:tc>
          <w:tcPr>
            <w:tcW w:w="1801"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4.00</w:t>
            </w:r>
          </w:p>
        </w:tc>
      </w:tr>
      <w:tr w:rsidR="00304E13" w:rsidTr="00CA0770">
        <w:tc>
          <w:tcPr>
            <w:tcW w:w="674"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B</w:t>
            </w:r>
          </w:p>
        </w:tc>
        <w:tc>
          <w:tcPr>
            <w:tcW w:w="4677"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70 - 79%</w:t>
            </w:r>
          </w:p>
        </w:tc>
        <w:tc>
          <w:tcPr>
            <w:tcW w:w="1801"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3.00</w:t>
            </w:r>
          </w:p>
        </w:tc>
      </w:tr>
      <w:tr w:rsidR="00304E13" w:rsidTr="00CA0770">
        <w:tc>
          <w:tcPr>
            <w:tcW w:w="674"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C</w:t>
            </w:r>
          </w:p>
        </w:tc>
        <w:tc>
          <w:tcPr>
            <w:tcW w:w="4677"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60 - 69%</w:t>
            </w:r>
          </w:p>
        </w:tc>
        <w:tc>
          <w:tcPr>
            <w:tcW w:w="1801"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2.00</w:t>
            </w:r>
          </w:p>
        </w:tc>
      </w:tr>
      <w:tr w:rsidR="00304E13" w:rsidTr="00CA0770">
        <w:tc>
          <w:tcPr>
            <w:tcW w:w="674"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rPr>
              <w:t>D</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F</w:t>
            </w:r>
          </w:p>
        </w:tc>
        <w:tc>
          <w:tcPr>
            <w:tcW w:w="4677"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rPr>
            </w:pPr>
            <w:r>
              <w:rPr>
                <w:rFonts w:ascii="Arial" w:hAnsi="Arial" w:cs="Arial"/>
              </w:rPr>
              <w:t xml:space="preserve">50 - 59% </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49% or less</w:t>
            </w:r>
          </w:p>
        </w:tc>
        <w:tc>
          <w:tcPr>
            <w:tcW w:w="1801"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rPr>
            </w:pPr>
            <w:r>
              <w:rPr>
                <w:rFonts w:ascii="Arial" w:hAnsi="Arial" w:cs="Arial"/>
              </w:rPr>
              <w:t>1.00</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 xml:space="preserve">         0.00</w:t>
            </w:r>
          </w:p>
        </w:tc>
      </w:tr>
      <w:tr w:rsidR="00304E13" w:rsidTr="00CA0770">
        <w:tc>
          <w:tcPr>
            <w:tcW w:w="674"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CR (Credit)</w:t>
            </w:r>
          </w:p>
        </w:tc>
        <w:tc>
          <w:tcPr>
            <w:tcW w:w="4677"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Credit for diploma requirements has been awarded.</w:t>
            </w:r>
          </w:p>
        </w:tc>
        <w:tc>
          <w:tcPr>
            <w:tcW w:w="1801"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p>
        </w:tc>
      </w:tr>
      <w:tr w:rsidR="00304E13" w:rsidTr="00CA0770">
        <w:tc>
          <w:tcPr>
            <w:tcW w:w="674"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S</w:t>
            </w:r>
          </w:p>
        </w:tc>
        <w:tc>
          <w:tcPr>
            <w:tcW w:w="4677"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Satisfactory achievement in field placement or non-graded subject areas.</w:t>
            </w:r>
          </w:p>
        </w:tc>
        <w:tc>
          <w:tcPr>
            <w:tcW w:w="1801"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p>
        </w:tc>
      </w:tr>
      <w:tr w:rsidR="00304E13" w:rsidTr="00CA0770">
        <w:tc>
          <w:tcPr>
            <w:tcW w:w="674"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U</w:t>
            </w:r>
          </w:p>
        </w:tc>
        <w:tc>
          <w:tcPr>
            <w:tcW w:w="4677"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Unsatisfactory achievement in field placement or non-graded subject areas.</w:t>
            </w:r>
          </w:p>
        </w:tc>
        <w:tc>
          <w:tcPr>
            <w:tcW w:w="1801"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p>
        </w:tc>
      </w:tr>
      <w:tr w:rsidR="00304E13" w:rsidTr="00CA0770">
        <w:tc>
          <w:tcPr>
            <w:tcW w:w="674"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X</w:t>
            </w:r>
          </w:p>
        </w:tc>
        <w:tc>
          <w:tcPr>
            <w:tcW w:w="4677"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 xml:space="preserve">A temporary grade.  This is used in limited situations with extenuating circumstances giving a student additional time to complete the requirements for a course (see </w:t>
            </w:r>
            <w:r>
              <w:rPr>
                <w:rFonts w:ascii="Arial" w:hAnsi="Arial" w:cs="Arial"/>
                <w:i/>
                <w:iCs/>
              </w:rPr>
              <w:t>Policies &amp;</w:t>
            </w:r>
            <w:r>
              <w:rPr>
                <w:rFonts w:ascii="Arial" w:hAnsi="Arial" w:cs="Arial"/>
              </w:rPr>
              <w:t xml:space="preserve"> </w:t>
            </w:r>
            <w:r>
              <w:rPr>
                <w:rFonts w:ascii="Arial" w:hAnsi="Arial" w:cs="Arial"/>
                <w:i/>
                <w:iCs/>
              </w:rPr>
              <w:t>Procedures Manual – Deferred Grades and Make-up</w:t>
            </w:r>
            <w:r>
              <w:rPr>
                <w:rFonts w:ascii="Arial" w:hAnsi="Arial" w:cs="Arial"/>
              </w:rPr>
              <w:t>).</w:t>
            </w:r>
          </w:p>
        </w:tc>
        <w:tc>
          <w:tcPr>
            <w:tcW w:w="1801"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p>
        </w:tc>
      </w:tr>
      <w:tr w:rsidR="00304E13" w:rsidTr="00CA0770">
        <w:tc>
          <w:tcPr>
            <w:tcW w:w="674"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NR</w:t>
            </w:r>
          </w:p>
        </w:tc>
        <w:tc>
          <w:tcPr>
            <w:tcW w:w="4677" w:type="dxa"/>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Grade not reported to Registrar's office.  This is used to facilitate transcript preparation when, for extenuating circumstances, it has not been possible for the faculty member to report grades.</w:t>
            </w:r>
          </w:p>
        </w:tc>
        <w:tc>
          <w:tcPr>
            <w:tcW w:w="1801" w:type="dxa"/>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p>
        </w:tc>
      </w:tr>
    </w:tbl>
    <w:p w:rsidR="00304E13" w:rsidRDefault="00304E13" w:rsidP="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0" w:type="auto"/>
        <w:tblLayout w:type="fixed"/>
        <w:tblLook w:val="04A0"/>
      </w:tblPr>
      <w:tblGrid>
        <w:gridCol w:w="674"/>
        <w:gridCol w:w="8180"/>
      </w:tblGrid>
      <w:tr w:rsidR="00304E13" w:rsidTr="00304E13">
        <w:tc>
          <w:tcPr>
            <w:tcW w:w="674" w:type="dxa"/>
            <w:tcBorders>
              <w:top w:val="single" w:sz="6" w:space="0" w:color="FFFFFF"/>
              <w:left w:val="single" w:sz="6" w:space="0" w:color="FFFFFF"/>
              <w:bottom w:val="single" w:sz="6" w:space="0" w:color="FFFFFF"/>
              <w:right w:val="single" w:sz="6" w:space="0" w:color="FFFFFF"/>
            </w:tcBorders>
            <w:hideMark/>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VI.</w:t>
            </w:r>
          </w:p>
        </w:tc>
        <w:tc>
          <w:tcPr>
            <w:tcW w:w="8180"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Pr>
                <w:rFonts w:ascii="Arial" w:hAnsi="Arial" w:cs="Arial"/>
                <w:b/>
                <w:bCs/>
              </w:rPr>
              <w:t>SPECIAL NOTES:</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304E13" w:rsidTr="00304E13">
        <w:tc>
          <w:tcPr>
            <w:tcW w:w="674" w:type="dxa"/>
            <w:tcBorders>
              <w:top w:val="single" w:sz="6" w:space="0" w:color="FFFFFF"/>
              <w:left w:val="single" w:sz="6" w:space="0" w:color="FFFFFF"/>
              <w:bottom w:val="single" w:sz="6" w:space="0" w:color="FFFFFF"/>
              <w:right w:val="single" w:sz="6" w:space="0" w:color="FFFFFF"/>
            </w:tcBorders>
          </w:tcPr>
          <w:p w:rsidR="00304E13" w:rsidRDefault="00304E13">
            <w:pPr>
              <w:autoSpaceDN w:val="0"/>
              <w:rPr>
                <w:rFonts w:ascii="Comic Sans MS" w:hAnsi="Comic Sans MS" w:cs="Comic Sans MS"/>
                <w:szCs w:val="24"/>
              </w:rPr>
            </w:pPr>
          </w:p>
        </w:tc>
        <w:tc>
          <w:tcPr>
            <w:tcW w:w="8180" w:type="dxa"/>
            <w:tcBorders>
              <w:top w:val="single" w:sz="6" w:space="0" w:color="FFFFFF"/>
              <w:left w:val="single" w:sz="6" w:space="0" w:color="FFFFFF"/>
              <w:bottom w:val="single" w:sz="6" w:space="0" w:color="FFFFFF"/>
              <w:right w:val="single" w:sz="6" w:space="0" w:color="FFFFFF"/>
            </w:tcBorders>
          </w:tcPr>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b/>
                <w:bCs/>
              </w:rPr>
              <w:t>Re-write of an exam is not permitted.</w:t>
            </w:r>
          </w:p>
          <w:p w:rsidR="00304E13" w:rsidRDefault="0030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 xml:space="preserve">All assignments must be typed, double spaced, with a cover page. </w:t>
            </w:r>
          </w:p>
          <w:p w:rsidR="00304E13" w:rsidRPr="00792797" w:rsidRDefault="00304E13" w:rsidP="00792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 xml:space="preserve">Failure to notify the professor of exam absence prior to the exam will result in a “0" grade assigned. </w:t>
            </w:r>
          </w:p>
        </w:tc>
      </w:tr>
    </w:tbl>
    <w:p w:rsidR="00304E13" w:rsidRDefault="00304E13" w:rsidP="0030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bCs/>
        </w:rPr>
      </w:pPr>
      <w:r>
        <w:rPr>
          <w:rFonts w:ascii="Arial" w:hAnsi="Arial" w:cs="Arial"/>
          <w:b/>
          <w:bCs/>
        </w:rPr>
        <w:t xml:space="preserve">Note: </w:t>
      </w:r>
      <w:r>
        <w:rPr>
          <w:rFonts w:ascii="Arial" w:hAnsi="Arial" w:cs="Arial"/>
        </w:rPr>
        <w:t>A passing grade of C or better in order to credited for program graduation</w:t>
      </w:r>
    </w:p>
    <w:p w:rsidR="00304E13" w:rsidRDefault="00304E13" w:rsidP="0030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bCs/>
        </w:rPr>
      </w:pPr>
    </w:p>
    <w:p w:rsidR="00304E13" w:rsidRDefault="00304E13" w:rsidP="0030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b/>
          <w:bCs/>
        </w:rPr>
        <w:t>Mid-term Exam (40 marks)</w:t>
      </w:r>
    </w:p>
    <w:p w:rsidR="00304E13" w:rsidRDefault="00304E13" w:rsidP="0030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ab/>
        <w:t>Learning objectives 1-4</w:t>
      </w:r>
      <w:r>
        <w:rPr>
          <w:rFonts w:ascii="Arial" w:hAnsi="Arial" w:cs="Arial"/>
        </w:rPr>
        <w:tab/>
      </w:r>
    </w:p>
    <w:p w:rsidR="00304E13" w:rsidRDefault="00304E13" w:rsidP="0030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304E13" w:rsidRDefault="00304E13" w:rsidP="0030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b/>
          <w:bCs/>
        </w:rPr>
        <w:t>Final Exam (40 marks)</w:t>
      </w:r>
    </w:p>
    <w:p w:rsidR="00304E13" w:rsidRDefault="00304E13" w:rsidP="0030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ascii="Arial" w:hAnsi="Arial" w:cs="Arial"/>
        </w:rPr>
      </w:pPr>
      <w:r>
        <w:rPr>
          <w:rFonts w:ascii="Arial" w:hAnsi="Arial" w:cs="Arial"/>
        </w:rPr>
        <w:t>Learning objectives 5-7</w:t>
      </w:r>
    </w:p>
    <w:p w:rsidR="00304E13" w:rsidRDefault="00304E13" w:rsidP="0030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304E13" w:rsidRDefault="00304E13" w:rsidP="0030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b/>
          <w:bCs/>
        </w:rPr>
        <w:t>Assignment (20 Marks)</w:t>
      </w:r>
    </w:p>
    <w:p w:rsidR="00304E13" w:rsidRDefault="00304E13" w:rsidP="0030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ascii="Arial" w:hAnsi="Arial" w:cs="Arial"/>
        </w:rPr>
      </w:pPr>
      <w:r>
        <w:rPr>
          <w:rFonts w:ascii="Arial" w:hAnsi="Arial" w:cs="Arial"/>
        </w:rPr>
        <w:t>Learning Objectives 1-7</w:t>
      </w:r>
    </w:p>
    <w:p w:rsidR="00304E13" w:rsidRDefault="00304E13" w:rsidP="0030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ascii="Arial" w:hAnsi="Arial" w:cs="Arial"/>
        </w:rPr>
      </w:pPr>
    </w:p>
    <w:tbl>
      <w:tblPr>
        <w:tblW w:w="8838" w:type="dxa"/>
        <w:tblLayout w:type="fixed"/>
        <w:tblLook w:val="04A0"/>
      </w:tblPr>
      <w:tblGrid>
        <w:gridCol w:w="675"/>
        <w:gridCol w:w="8163"/>
      </w:tblGrid>
      <w:tr w:rsidR="00304E13" w:rsidTr="00304E13">
        <w:trPr>
          <w:cantSplit/>
        </w:trPr>
        <w:tc>
          <w:tcPr>
            <w:tcW w:w="8838" w:type="dxa"/>
            <w:gridSpan w:val="2"/>
          </w:tcPr>
          <w:p w:rsidR="00304E13" w:rsidRDefault="00304E13">
            <w:pPr>
              <w:rPr>
                <w:rFonts w:ascii="Arial" w:hAnsi="Arial" w:cs="Arial"/>
                <w:szCs w:val="24"/>
                <w:u w:val="single"/>
              </w:rPr>
            </w:pPr>
            <w:r>
              <w:rPr>
                <w:rFonts w:ascii="Arial" w:hAnsi="Arial" w:cs="Arial"/>
                <w:u w:val="single"/>
              </w:rPr>
              <w:t>Attendance:</w:t>
            </w:r>
          </w:p>
          <w:p w:rsidR="00304E13" w:rsidRDefault="00304E13">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04E13" w:rsidRDefault="00304E13">
            <w:pPr>
              <w:rPr>
                <w:rFonts w:ascii="Arial" w:hAnsi="Arial" w:cs="Arial"/>
              </w:rPr>
            </w:pPr>
          </w:p>
          <w:p w:rsidR="00304E13" w:rsidRDefault="00304E13">
            <w:pPr>
              <w:widowControl w:val="0"/>
              <w:autoSpaceDE w:val="0"/>
              <w:autoSpaceDN w:val="0"/>
              <w:adjustRightInd w:val="0"/>
              <w:rPr>
                <w:rFonts w:ascii="Arial" w:hAnsi="Arial" w:cs="Arial"/>
              </w:rPr>
            </w:pPr>
            <w:r>
              <w:rPr>
                <w:rFonts w:ascii="Arial" w:hAnsi="Arial" w:cs="Arial"/>
              </w:rPr>
              <w:t>It is the departmental policy that once the classroom door has been closed, the learning process has begun.  Late arrivers will not be granted admission to the room.</w:t>
            </w:r>
          </w:p>
          <w:p w:rsidR="00CA0770" w:rsidRDefault="00CA0770">
            <w:pPr>
              <w:widowControl w:val="0"/>
              <w:autoSpaceDE w:val="0"/>
              <w:autoSpaceDN w:val="0"/>
              <w:adjustRightInd w:val="0"/>
              <w:rPr>
                <w:rFonts w:ascii="Arial" w:hAnsi="Arial" w:cs="Arial"/>
              </w:rPr>
            </w:pPr>
          </w:p>
          <w:p w:rsidR="00CA0770" w:rsidRDefault="00CA0770">
            <w:pPr>
              <w:widowControl w:val="0"/>
              <w:autoSpaceDE w:val="0"/>
              <w:autoSpaceDN w:val="0"/>
              <w:adjustRightInd w:val="0"/>
              <w:rPr>
                <w:rFonts w:ascii="Arial" w:hAnsi="Arial" w:cs="Arial"/>
                <w:szCs w:val="24"/>
              </w:rPr>
            </w:pPr>
          </w:p>
        </w:tc>
      </w:tr>
      <w:tr w:rsidR="00304E13" w:rsidTr="00792797">
        <w:trPr>
          <w:cantSplit/>
        </w:trPr>
        <w:tc>
          <w:tcPr>
            <w:tcW w:w="675" w:type="dxa"/>
            <w:hideMark/>
          </w:tcPr>
          <w:p w:rsidR="00304E13" w:rsidRDefault="00304E13">
            <w:pPr>
              <w:widowControl w:val="0"/>
              <w:autoSpaceDE w:val="0"/>
              <w:autoSpaceDN w:val="0"/>
              <w:adjustRightInd w:val="0"/>
              <w:rPr>
                <w:rFonts w:ascii="Arial" w:hAnsi="Arial"/>
                <w:b/>
                <w:szCs w:val="24"/>
              </w:rPr>
            </w:pPr>
            <w:r>
              <w:rPr>
                <w:rFonts w:ascii="Arial" w:hAnsi="Arial"/>
                <w:b/>
              </w:rPr>
              <w:t>VII.</w:t>
            </w:r>
          </w:p>
        </w:tc>
        <w:tc>
          <w:tcPr>
            <w:tcW w:w="8163" w:type="dxa"/>
          </w:tcPr>
          <w:p w:rsidR="00304E13" w:rsidRDefault="00304E13">
            <w:pPr>
              <w:rPr>
                <w:rFonts w:ascii="Arial" w:hAnsi="Arial"/>
                <w:b/>
              </w:rPr>
            </w:pPr>
            <w:r>
              <w:rPr>
                <w:rFonts w:ascii="Arial" w:hAnsi="Arial"/>
                <w:b/>
              </w:rPr>
              <w:t>COURSE OUTLINE ADDENDUM:</w:t>
            </w:r>
          </w:p>
          <w:p w:rsidR="00304E13" w:rsidRDefault="00304E13">
            <w:pPr>
              <w:widowControl w:val="0"/>
              <w:autoSpaceDE w:val="0"/>
              <w:autoSpaceDN w:val="0"/>
              <w:adjustRightInd w:val="0"/>
              <w:rPr>
                <w:rFonts w:ascii="Arial" w:hAnsi="Arial"/>
                <w:b/>
                <w:szCs w:val="24"/>
              </w:rPr>
            </w:pPr>
          </w:p>
        </w:tc>
      </w:tr>
      <w:tr w:rsidR="00304E13" w:rsidTr="00792797">
        <w:trPr>
          <w:cantSplit/>
        </w:trPr>
        <w:tc>
          <w:tcPr>
            <w:tcW w:w="675" w:type="dxa"/>
          </w:tcPr>
          <w:p w:rsidR="00304E13" w:rsidRDefault="00304E13">
            <w:pPr>
              <w:widowControl w:val="0"/>
              <w:autoSpaceDE w:val="0"/>
              <w:autoSpaceDN w:val="0"/>
              <w:adjustRightInd w:val="0"/>
              <w:rPr>
                <w:rFonts w:ascii="Arial" w:hAnsi="Arial"/>
                <w:szCs w:val="24"/>
              </w:rPr>
            </w:pPr>
          </w:p>
        </w:tc>
        <w:tc>
          <w:tcPr>
            <w:tcW w:w="8163" w:type="dxa"/>
            <w:hideMark/>
          </w:tcPr>
          <w:p w:rsidR="00304E13" w:rsidRDefault="00304E13">
            <w:pPr>
              <w:widowControl w:val="0"/>
              <w:autoSpaceDE w:val="0"/>
              <w:autoSpaceDN w:val="0"/>
              <w:adjustRightInd w:val="0"/>
              <w:rPr>
                <w:rFonts w:ascii="Arial" w:hAnsi="Arial"/>
                <w:szCs w:val="24"/>
              </w:rPr>
            </w:pPr>
            <w:r>
              <w:rPr>
                <w:rFonts w:ascii="Arial" w:hAnsi="Arial"/>
              </w:rPr>
              <w:t>The provisions contained in the addendum located on the portal form part of this course outline.</w:t>
            </w:r>
          </w:p>
        </w:tc>
      </w:tr>
    </w:tbl>
    <w:p w:rsidR="00CA0770" w:rsidRDefault="00CA0770" w:rsidP="00243A34">
      <w:pPr>
        <w:pStyle w:val="EnvelopeReturn"/>
        <w:rPr>
          <w:b/>
          <w:lang w:val="en-GB"/>
        </w:rPr>
      </w:pPr>
    </w:p>
    <w:p w:rsidR="00CA0770" w:rsidRDefault="00CA0770">
      <w:pPr>
        <w:rPr>
          <w:rFonts w:ascii="Arial" w:hAnsi="Arial"/>
          <w:b/>
          <w:lang w:val="en-GB"/>
        </w:rPr>
      </w:pPr>
      <w:r>
        <w:rPr>
          <w:b/>
          <w:lang w:val="en-GB"/>
        </w:rPr>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CA0770">
      <w:headerReference w:type="even" r:id="rId8"/>
      <w:headerReference w:type="default" r:id="rId9"/>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770" w:rsidRDefault="00CA0770">
      <w:r>
        <w:separator/>
      </w:r>
    </w:p>
  </w:endnote>
  <w:endnote w:type="continuationSeparator" w:id="0">
    <w:p w:rsidR="00CA0770" w:rsidRDefault="00CA0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770" w:rsidRDefault="00CA0770">
      <w:r>
        <w:separator/>
      </w:r>
    </w:p>
  </w:footnote>
  <w:footnote w:type="continuationSeparator" w:id="0">
    <w:p w:rsidR="00CA0770" w:rsidRDefault="00CA0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770" w:rsidRDefault="00CA07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A0770" w:rsidRDefault="00CA0770">
    <w:pPr>
      <w:pStyle w:val="Header"/>
    </w:pPr>
  </w:p>
  <w:p w:rsidR="00CA0770" w:rsidRDefault="00CA0770"/>
  <w:p w:rsidR="00CA0770" w:rsidRDefault="00CA0770"/>
  <w:p w:rsidR="00CA0770" w:rsidRDefault="00CA0770"/>
  <w:p w:rsidR="00CA0770" w:rsidRDefault="00CA0770"/>
  <w:p w:rsidR="00CA0770" w:rsidRDefault="00CA0770"/>
  <w:p w:rsidR="00CA0770" w:rsidRDefault="00CA0770"/>
  <w:p w:rsidR="00CA0770" w:rsidRDefault="00CA07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770" w:rsidRDefault="00CA07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7B6">
      <w:rPr>
        <w:rStyle w:val="PageNumber"/>
        <w:noProof/>
      </w:rPr>
      <w:t>6</w:t>
    </w:r>
    <w:r>
      <w:rPr>
        <w:rStyle w:val="PageNumber"/>
      </w:rPr>
      <w:fldChar w:fldCharType="end"/>
    </w:r>
  </w:p>
  <w:tbl>
    <w:tblPr>
      <w:tblW w:w="0" w:type="auto"/>
      <w:tblLayout w:type="fixed"/>
      <w:tblLook w:val="0000"/>
    </w:tblPr>
    <w:tblGrid>
      <w:gridCol w:w="3794"/>
      <w:gridCol w:w="1134"/>
      <w:gridCol w:w="3928"/>
    </w:tblGrid>
    <w:tr w:rsidR="00CA0770">
      <w:tc>
        <w:tcPr>
          <w:tcW w:w="3794" w:type="dxa"/>
        </w:tcPr>
        <w:p w:rsidR="00CA0770" w:rsidRDefault="00CA0770">
          <w:pPr>
            <w:rPr>
              <w:rFonts w:ascii="Arial" w:hAnsi="Arial"/>
              <w:snapToGrid w:val="0"/>
            </w:rPr>
          </w:pPr>
        </w:p>
      </w:tc>
      <w:tc>
        <w:tcPr>
          <w:tcW w:w="1134" w:type="dxa"/>
        </w:tcPr>
        <w:p w:rsidR="00CA0770" w:rsidRDefault="00CA0770">
          <w:pPr>
            <w:pStyle w:val="Header"/>
            <w:jc w:val="center"/>
            <w:rPr>
              <w:rFonts w:ascii="Arial" w:hAnsi="Arial"/>
              <w:snapToGrid w:val="0"/>
            </w:rPr>
          </w:pPr>
        </w:p>
      </w:tc>
      <w:tc>
        <w:tcPr>
          <w:tcW w:w="3928" w:type="dxa"/>
        </w:tcPr>
        <w:p w:rsidR="00CA0770" w:rsidRDefault="00CA0770">
          <w:pPr>
            <w:pStyle w:val="Header"/>
            <w:jc w:val="right"/>
            <w:rPr>
              <w:rFonts w:ascii="Arial" w:hAnsi="Arial"/>
              <w:snapToGrid w:val="0"/>
            </w:rPr>
          </w:pPr>
        </w:p>
      </w:tc>
    </w:tr>
    <w:tr w:rsidR="00CA0770">
      <w:tc>
        <w:tcPr>
          <w:tcW w:w="3794" w:type="dxa"/>
        </w:tcPr>
        <w:p w:rsidR="00CA0770" w:rsidRDefault="00CA0770" w:rsidP="00243A34">
          <w:pPr>
            <w:rPr>
              <w:rFonts w:ascii="Arial" w:hAnsi="Arial"/>
              <w:snapToGrid w:val="0"/>
            </w:rPr>
          </w:pPr>
          <w:r>
            <w:rPr>
              <w:rFonts w:ascii="Arial" w:hAnsi="Arial" w:cs="Arial"/>
              <w:sz w:val="22"/>
              <w:szCs w:val="22"/>
            </w:rPr>
            <w:t>Introduction to Private Security</w:t>
          </w:r>
        </w:p>
      </w:tc>
      <w:tc>
        <w:tcPr>
          <w:tcW w:w="1134" w:type="dxa"/>
        </w:tcPr>
        <w:p w:rsidR="00CA0770" w:rsidRDefault="00CA0770">
          <w:pPr>
            <w:pStyle w:val="Header"/>
            <w:jc w:val="center"/>
            <w:rPr>
              <w:rFonts w:ascii="Arial" w:hAnsi="Arial"/>
              <w:snapToGrid w:val="0"/>
            </w:rPr>
          </w:pPr>
        </w:p>
      </w:tc>
      <w:tc>
        <w:tcPr>
          <w:tcW w:w="3928" w:type="dxa"/>
        </w:tcPr>
        <w:p w:rsidR="00CA0770" w:rsidRDefault="00CA0770">
          <w:pPr>
            <w:pStyle w:val="Header"/>
            <w:jc w:val="right"/>
            <w:rPr>
              <w:rFonts w:ascii="Arial" w:hAnsi="Arial"/>
              <w:snapToGrid w:val="0"/>
            </w:rPr>
          </w:pPr>
          <w:r>
            <w:rPr>
              <w:rFonts w:ascii="Arial" w:hAnsi="Arial" w:cs="Arial"/>
              <w:sz w:val="22"/>
              <w:szCs w:val="22"/>
            </w:rPr>
            <w:t>CJS0415</w:t>
          </w:r>
        </w:p>
      </w:tc>
    </w:tr>
  </w:tbl>
  <w:p w:rsidR="00CA0770" w:rsidRDefault="00CA07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D5478F"/>
    <w:multiLevelType w:val="hybridMultilevel"/>
    <w:tmpl w:val="97CA8908"/>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71146CA"/>
    <w:multiLevelType w:val="hybridMultilevel"/>
    <w:tmpl w:val="0F1059EC"/>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D9550E8"/>
    <w:multiLevelType w:val="hybridMultilevel"/>
    <w:tmpl w:val="2F30A69A"/>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387DB1"/>
    <w:multiLevelType w:val="hybridMultilevel"/>
    <w:tmpl w:val="65640C76"/>
    <w:lvl w:ilvl="0" w:tplc="301C172E">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DF784A"/>
    <w:multiLevelType w:val="hybridMultilevel"/>
    <w:tmpl w:val="E0F80B22"/>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0">
    <w:nsid w:val="5CEE6D48"/>
    <w:multiLevelType w:val="hybridMultilevel"/>
    <w:tmpl w:val="80723046"/>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A40976"/>
    <w:multiLevelType w:val="hybridMultilevel"/>
    <w:tmpl w:val="476453DE"/>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9"/>
  </w:num>
  <w:num w:numId="4">
    <w:abstractNumId w:val="23"/>
  </w:num>
  <w:num w:numId="5">
    <w:abstractNumId w:val="28"/>
  </w:num>
  <w:num w:numId="6">
    <w:abstractNumId w:val="4"/>
  </w:num>
  <w:num w:numId="7">
    <w:abstractNumId w:val="1"/>
  </w:num>
  <w:num w:numId="8">
    <w:abstractNumId w:val="18"/>
  </w:num>
  <w:num w:numId="9">
    <w:abstractNumId w:val="24"/>
  </w:num>
  <w:num w:numId="10">
    <w:abstractNumId w:val="5"/>
  </w:num>
  <w:num w:numId="11">
    <w:abstractNumId w:val="16"/>
  </w:num>
  <w:num w:numId="12">
    <w:abstractNumId w:val="0"/>
  </w:num>
  <w:num w:numId="13">
    <w:abstractNumId w:val="25"/>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04E13"/>
    <w:rsid w:val="00322E30"/>
    <w:rsid w:val="00331E68"/>
    <w:rsid w:val="0035594A"/>
    <w:rsid w:val="003B0EA7"/>
    <w:rsid w:val="003D0B70"/>
    <w:rsid w:val="003D5562"/>
    <w:rsid w:val="004418B6"/>
    <w:rsid w:val="00441ECC"/>
    <w:rsid w:val="00455859"/>
    <w:rsid w:val="004E298B"/>
    <w:rsid w:val="0051593C"/>
    <w:rsid w:val="00532940"/>
    <w:rsid w:val="00533537"/>
    <w:rsid w:val="005507B6"/>
    <w:rsid w:val="0056705E"/>
    <w:rsid w:val="00580349"/>
    <w:rsid w:val="005A0B6F"/>
    <w:rsid w:val="005A28BC"/>
    <w:rsid w:val="005C10A6"/>
    <w:rsid w:val="005C4FE9"/>
    <w:rsid w:val="005E13EA"/>
    <w:rsid w:val="005F13F8"/>
    <w:rsid w:val="005F2B4B"/>
    <w:rsid w:val="005F4C82"/>
    <w:rsid w:val="00613807"/>
    <w:rsid w:val="00626C24"/>
    <w:rsid w:val="006455EB"/>
    <w:rsid w:val="006A1592"/>
    <w:rsid w:val="00705AAA"/>
    <w:rsid w:val="00713917"/>
    <w:rsid w:val="00721FF2"/>
    <w:rsid w:val="00723208"/>
    <w:rsid w:val="00754E67"/>
    <w:rsid w:val="00757B48"/>
    <w:rsid w:val="0077640E"/>
    <w:rsid w:val="00792797"/>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770"/>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62A7B"/>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EnvelopeRet">
    <w:name w:val="Envelope Ret"/>
    <w:basedOn w:val="Normal"/>
    <w:rsid w:val="00304E13"/>
    <w:pPr>
      <w:widowControl w:val="0"/>
      <w:autoSpaceDE w:val="0"/>
      <w:autoSpaceDN w:val="0"/>
      <w:adjustRightInd w:val="0"/>
    </w:pPr>
    <w:rPr>
      <w:rFonts w:ascii="Arial" w:hAnsi="Arial" w:cs="Arial"/>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EnvelopeRet">
    <w:name w:val="Envelope Ret"/>
    <w:basedOn w:val="Normal"/>
    <w:rsid w:val="00304E13"/>
    <w:pPr>
      <w:widowControl w:val="0"/>
      <w:autoSpaceDE w:val="0"/>
      <w:autoSpaceDN w:val="0"/>
      <w:adjustRightInd w:val="0"/>
    </w:pPr>
    <w:rPr>
      <w:rFonts w:ascii="Arial" w:hAnsi="Arial" w:cs="Arial"/>
      <w:szCs w:val="24"/>
      <w:lang w:eastAsia="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8012276">
      <w:bodyDiv w:val="1"/>
      <w:marLeft w:val="0"/>
      <w:marRight w:val="0"/>
      <w:marTop w:val="0"/>
      <w:marBottom w:val="0"/>
      <w:divBdr>
        <w:top w:val="none" w:sz="0" w:space="0" w:color="auto"/>
        <w:left w:val="none" w:sz="0" w:space="0" w:color="auto"/>
        <w:bottom w:val="none" w:sz="0" w:space="0" w:color="auto"/>
        <w:right w:val="none" w:sz="0" w:space="0" w:color="auto"/>
      </w:divBdr>
    </w:div>
    <w:div w:id="633291416">
      <w:bodyDiv w:val="1"/>
      <w:marLeft w:val="0"/>
      <w:marRight w:val="0"/>
      <w:marTop w:val="0"/>
      <w:marBottom w:val="0"/>
      <w:divBdr>
        <w:top w:val="none" w:sz="0" w:space="0" w:color="auto"/>
        <w:left w:val="none" w:sz="0" w:space="0" w:color="auto"/>
        <w:bottom w:val="none" w:sz="0" w:space="0" w:color="auto"/>
        <w:right w:val="none" w:sz="0" w:space="0" w:color="auto"/>
      </w:divBdr>
    </w:div>
    <w:div w:id="745809896">
      <w:bodyDiv w:val="1"/>
      <w:marLeft w:val="0"/>
      <w:marRight w:val="0"/>
      <w:marTop w:val="0"/>
      <w:marBottom w:val="0"/>
      <w:divBdr>
        <w:top w:val="none" w:sz="0" w:space="0" w:color="auto"/>
        <w:left w:val="none" w:sz="0" w:space="0" w:color="auto"/>
        <w:bottom w:val="none" w:sz="0" w:space="0" w:color="auto"/>
        <w:right w:val="none" w:sz="0" w:space="0" w:color="auto"/>
      </w:divBdr>
    </w:div>
    <w:div w:id="751699955">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61364002">
      <w:bodyDiv w:val="1"/>
      <w:marLeft w:val="0"/>
      <w:marRight w:val="0"/>
      <w:marTop w:val="0"/>
      <w:marBottom w:val="0"/>
      <w:divBdr>
        <w:top w:val="none" w:sz="0" w:space="0" w:color="auto"/>
        <w:left w:val="none" w:sz="0" w:space="0" w:color="auto"/>
        <w:bottom w:val="none" w:sz="0" w:space="0" w:color="auto"/>
        <w:right w:val="none" w:sz="0" w:space="0" w:color="auto"/>
      </w:divBdr>
    </w:div>
    <w:div w:id="1117725192">
      <w:bodyDiv w:val="1"/>
      <w:marLeft w:val="0"/>
      <w:marRight w:val="0"/>
      <w:marTop w:val="0"/>
      <w:marBottom w:val="0"/>
      <w:divBdr>
        <w:top w:val="none" w:sz="0" w:space="0" w:color="auto"/>
        <w:left w:val="none" w:sz="0" w:space="0" w:color="auto"/>
        <w:bottom w:val="none" w:sz="0" w:space="0" w:color="auto"/>
        <w:right w:val="none" w:sz="0" w:space="0" w:color="auto"/>
      </w:divBdr>
    </w:div>
    <w:div w:id="1118914397">
      <w:bodyDiv w:val="1"/>
      <w:marLeft w:val="0"/>
      <w:marRight w:val="0"/>
      <w:marTop w:val="0"/>
      <w:marBottom w:val="0"/>
      <w:divBdr>
        <w:top w:val="none" w:sz="0" w:space="0" w:color="auto"/>
        <w:left w:val="none" w:sz="0" w:space="0" w:color="auto"/>
        <w:bottom w:val="none" w:sz="0" w:space="0" w:color="auto"/>
        <w:right w:val="none" w:sz="0" w:space="0" w:color="auto"/>
      </w:divBdr>
    </w:div>
    <w:div w:id="111898443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14061613">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E7038-C37E-4BD1-8931-5188399F3EDF}"/>
</file>

<file path=customXml/itemProps2.xml><?xml version="1.0" encoding="utf-8"?>
<ds:datastoreItem xmlns:ds="http://schemas.openxmlformats.org/officeDocument/2006/customXml" ds:itemID="{7C041FB0-AD40-4848-8242-6F9BDDAF02A3}"/>
</file>

<file path=customXml/itemProps3.xml><?xml version="1.0" encoding="utf-8"?>
<ds:datastoreItem xmlns:ds="http://schemas.openxmlformats.org/officeDocument/2006/customXml" ds:itemID="{C9149A1C-8204-40FF-A3A5-CA370B3CD9D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6</Pages>
  <Words>1527</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2011-11-08T19:58:00Z</cp:lastPrinted>
  <dcterms:created xsi:type="dcterms:W3CDTF">2011-10-16T18:23:00Z</dcterms:created>
  <dcterms:modified xsi:type="dcterms:W3CDTF">2011-11-08T20:18:00Z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1288400</vt:r8>
  </property>
</Properties>
</file>